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 xml:space="preserve"> ACTO ADMINISTRATIVO DE BAJA DE BIENES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 xml:space="preserve">RESOLUCIÓN No. </w:t>
      </w:r>
      <w:r>
        <w:rPr>
          <w:rFonts w:ascii="Arial" w:eastAsia="Times New Roman" w:hAnsi="Arial" w:cs="Arial"/>
          <w:b/>
          <w:color w:val="000000"/>
          <w:lang w:val="es-ES" w:eastAsia="es-ES"/>
        </w:rPr>
        <w:t>XXX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Por la cual se ordena la baja y destino final de unos bienes.</w:t>
      </w: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 xml:space="preserve">EL ORDENADOR DE GASTO </w:t>
      </w:r>
      <w:r>
        <w:rPr>
          <w:rFonts w:ascii="Arial" w:eastAsia="Times New Roman" w:hAnsi="Arial" w:cs="Arial"/>
          <w:b/>
          <w:color w:val="000000"/>
          <w:lang w:val="es-ES" w:eastAsia="es-ES"/>
        </w:rPr>
        <w:t>DE LA INSTITUCION XXXXXXXX</w:t>
      </w: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En ejercicio de las facultades previstas establecidas, y</w:t>
      </w: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CONSIDERANDO:</w:t>
      </w: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la Contraloría General de la República y la Procuraduría General de la Nación, en Circular conjunta No. 2 del 16 de diciembre de 2003, establecieron que las empresas del Estado Colombiano tienen la obligación legal de implementar mecanismos idóneos que permitan cumplir con la función de vigilancia y control de los fondos y bienes públicos asignados, sin perjuicio de la competencia del órgano de control fiscal, a fin de prever el daño o pérdida patrimonial, por acción u omisión.</w:t>
      </w:r>
      <w:r w:rsidRPr="00AD093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CC518B" w:rsidRPr="00AD0939" w:rsidRDefault="00CC518B" w:rsidP="00CC5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la Resolución No. 533 del 08 de octubre de 2015, incorpora en el Régimen de contabilidad publica el marco normativo aplicable a entidades de gobierno para convergencia a los estándares internacionales.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la Ley 1819 del 29 de diciembre de 2016 Reforma Tributaria en su Capítulo V, articulo 355; de saneamiento contable, determina que las entidades públicas deberán adelantar el proceso de depuración contable estableciendo la existencia real de los bienes y otras consideraciones.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Que el </w:t>
      </w:r>
      <w:r>
        <w:rPr>
          <w:rFonts w:ascii="Arial" w:eastAsia="Times New Roman" w:hAnsi="Arial" w:cs="Arial"/>
          <w:color w:val="000000"/>
          <w:lang w:val="es-ES" w:eastAsia="es-ES"/>
        </w:rPr>
        <w:t>rector de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: XXXXXXX 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en solicitud de autorización No. </w:t>
      </w:r>
      <w:r>
        <w:rPr>
          <w:rFonts w:ascii="Arial" w:eastAsia="Times New Roman" w:hAnsi="Arial" w:cs="Arial"/>
          <w:color w:val="000000"/>
          <w:lang w:val="es-ES" w:eastAsia="es-ES"/>
        </w:rPr>
        <w:t>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del </w:t>
      </w:r>
      <w:r>
        <w:rPr>
          <w:rFonts w:ascii="Arial" w:eastAsia="Times New Roman" w:hAnsi="Arial" w:cs="Arial"/>
          <w:color w:val="000000"/>
          <w:lang w:val="es-ES" w:eastAsia="es-ES"/>
        </w:rPr>
        <w:t>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XXXXXX 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de 20</w:t>
      </w:r>
      <w:r>
        <w:rPr>
          <w:rFonts w:ascii="Arial" w:eastAsia="Times New Roman" w:hAnsi="Arial" w:cs="Arial"/>
          <w:color w:val="000000"/>
          <w:lang w:val="es-ES" w:eastAsia="es-ES"/>
        </w:rPr>
        <w:t>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solicita al Concejo Directivo de la Institución Educativa autorizar los ajustes pertinentes de la información de los bienes muebles contenida en la matriz 3 y el Estado de Situación financiera del establecimiento educativo.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la dependencia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, mediante comunicación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XX 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solicito el retiro de unos elementos del servicio por las siguientes razones: </w:t>
      </w:r>
      <w:r>
        <w:rPr>
          <w:rFonts w:ascii="Arial" w:eastAsia="Times New Roman" w:hAnsi="Arial" w:cs="Arial"/>
          <w:color w:val="000000"/>
          <w:lang w:val="es-ES" w:eastAsia="es-ES"/>
        </w:rPr>
        <w:t>XXXXXXX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se cuenta con el concepto técnico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XXXXX emitido por 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, en el cual se señala expresamente sobre estos bienes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muebles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que XXXXXX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 el Comité de Inventario y Baja de Bienes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Muebles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del Establecimiento Educativo se reunió el día </w:t>
      </w:r>
      <w:r>
        <w:rPr>
          <w:rFonts w:ascii="Arial" w:eastAsia="Times New Roman" w:hAnsi="Arial" w:cs="Arial"/>
          <w:color w:val="000000"/>
          <w:lang w:val="es-ES" w:eastAsia="es-ES"/>
        </w:rPr>
        <w:t>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r>
        <w:rPr>
          <w:rFonts w:ascii="Arial" w:eastAsia="Times New Roman" w:hAnsi="Arial" w:cs="Arial"/>
          <w:color w:val="000000"/>
          <w:lang w:val="es-ES" w:eastAsia="es-ES"/>
        </w:rPr>
        <w:t>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 20</w:t>
      </w:r>
      <w:r>
        <w:rPr>
          <w:rFonts w:ascii="Arial" w:eastAsia="Times New Roman" w:hAnsi="Arial" w:cs="Arial"/>
          <w:color w:val="000000"/>
          <w:lang w:val="es-ES" w:eastAsia="es-ES"/>
        </w:rPr>
        <w:t>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y analizo la solicitud de baja, recomendando que </w:t>
      </w:r>
      <w:r>
        <w:rPr>
          <w:rFonts w:ascii="Arial" w:eastAsia="Times New Roman" w:hAnsi="Arial" w:cs="Arial"/>
          <w:color w:val="000000"/>
          <w:lang w:val="es-ES" w:eastAsia="es-ES"/>
        </w:rPr>
        <w:t>se den de baja los elementos recomendando que XXXXXXX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Otros considerandos según el caso específico.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Que, en mérito de lo expuesto,</w:t>
      </w:r>
    </w:p>
    <w:p w:rsidR="00CC518B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lastRenderedPageBreak/>
        <w:t>RESUELVE: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>ARTICULO PRIMERO: ORDENAR LA BAJA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de los bienes descritos y relacionados en la presente Resolución y que corresponden al inventario de bienes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muebles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relacionados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a continuación: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441"/>
        <w:gridCol w:w="1985"/>
        <w:gridCol w:w="1701"/>
        <w:gridCol w:w="850"/>
        <w:gridCol w:w="1276"/>
      </w:tblGrid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ITEM</w:t>
            </w: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DESCRIPCION DEL BIEN</w:t>
            </w: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FECHA DE ADQUISICION O DE RECEPCION</w:t>
            </w: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 xml:space="preserve">VALOR </w:t>
            </w:r>
            <w:r w:rsidRPr="00AD093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 xml:space="preserve">UNITARIO </w:t>
            </w: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EN FACTURA O COTIZACION</w:t>
            </w: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CANTIDAD</w:t>
            </w: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>VALOR TOTAL</w:t>
            </w: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53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4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9770D9" w:rsidRPr="00AD0939" w:rsidTr="009770D9">
        <w:tc>
          <w:tcPr>
            <w:tcW w:w="7508" w:type="dxa"/>
            <w:gridSpan w:val="5"/>
            <w:shd w:val="clear" w:color="auto" w:fill="auto"/>
          </w:tcPr>
          <w:p w:rsidR="009770D9" w:rsidRPr="00AD0939" w:rsidRDefault="009770D9" w:rsidP="0072672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  <w:r w:rsidRPr="00AD0939"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  <w:t xml:space="preserve">TOTAL A DAR DE BAJA     </w:t>
            </w:r>
          </w:p>
        </w:tc>
        <w:tc>
          <w:tcPr>
            <w:tcW w:w="1276" w:type="dxa"/>
          </w:tcPr>
          <w:p w:rsidR="009770D9" w:rsidRPr="00AD0939" w:rsidRDefault="009770D9" w:rsidP="0072672A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ES" w:eastAsia="es-ES"/>
              </w:rPr>
            </w:pPr>
          </w:p>
        </w:tc>
      </w:tr>
    </w:tbl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2"/>
          <w:szCs w:val="12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>ARTICULO SEGUNDO: ORDENAR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 xml:space="preserve"> el destino final de los bienes dados de baja en el artículo primero de la presente Resolución, el cual será, de acuerdo con lo establecido en </w:t>
      </w:r>
      <w:r w:rsidR="009770D9">
        <w:rPr>
          <w:rFonts w:ascii="Arial" w:eastAsia="Times New Roman" w:hAnsi="Arial" w:cs="Arial"/>
          <w:color w:val="000000"/>
          <w:lang w:val="es-ES" w:eastAsia="es-ES"/>
        </w:rPr>
        <w:t>la Circular 098 de 2017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>ARTICULO TERCERO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: remitir copia al responsable de los inventarios del Establecimiento Educativo para que los retire de la matriz-3 y/o base de datos en la cual se lleva el control detallado de los bienes muebles; igualmente remitir copia al Contador del Establecimiento Educativo (No existe contador en el Centro Educativo) para que realice los registros contables de baja correspondientes.</w:t>
      </w:r>
    </w:p>
    <w:p w:rsidR="00CC518B" w:rsidRPr="00AD0939" w:rsidRDefault="00CC518B" w:rsidP="00CC518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b/>
          <w:color w:val="000000"/>
          <w:lang w:val="es-ES" w:eastAsia="es-ES"/>
        </w:rPr>
        <w:t>ARTICULO CUARTO</w:t>
      </w:r>
      <w:r w:rsidRPr="00AD0939">
        <w:rPr>
          <w:rFonts w:ascii="Arial" w:eastAsia="Times New Roman" w:hAnsi="Arial" w:cs="Arial"/>
          <w:color w:val="000000"/>
          <w:lang w:val="es-ES" w:eastAsia="es-ES"/>
        </w:rPr>
        <w:t>: la presente Resolución rige a partir de su fecha de expedición.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s-ES" w:eastAsia="es-ES"/>
        </w:rPr>
        <w:t>Dado….</w:t>
      </w:r>
      <w:proofErr w:type="gramEnd"/>
      <w:r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CUMPLASE</w:t>
      </w: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9770D9" w:rsidRPr="00AD0939" w:rsidRDefault="009770D9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Pr="00AD0939" w:rsidRDefault="00CC518B" w:rsidP="00CC518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lang w:val="es-ES" w:eastAsia="es-ES"/>
        </w:rPr>
        <w:t>FIRMA DEL ORDENADOR DEL GASTO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CC518B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9770D9" w:rsidRDefault="009770D9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9770D9" w:rsidRPr="00AD0939" w:rsidRDefault="009770D9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bookmarkStart w:id="0" w:name="_GoBack"/>
      <w:bookmarkEnd w:id="0"/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  <w:t>Proyecto: xxx</w:t>
      </w:r>
    </w:p>
    <w:p w:rsidR="00CC518B" w:rsidRPr="00AD0939" w:rsidRDefault="00CC518B" w:rsidP="00CC51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</w:pPr>
      <w:r w:rsidRPr="00AD0939"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  <w:t xml:space="preserve">Reviso: </w:t>
      </w:r>
      <w:proofErr w:type="spellStart"/>
      <w:r w:rsidRPr="00AD0939"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  <w:t>xxxx</w:t>
      </w:r>
      <w:proofErr w:type="spellEnd"/>
    </w:p>
    <w:p w:rsidR="00B95D2E" w:rsidRDefault="00B95D2E"/>
    <w:sectPr w:rsidR="00B95D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A6" w:rsidRDefault="00E444A6" w:rsidP="00CC518B">
      <w:pPr>
        <w:spacing w:after="0" w:line="240" w:lineRule="auto"/>
      </w:pPr>
      <w:r>
        <w:separator/>
      </w:r>
    </w:p>
  </w:endnote>
  <w:endnote w:type="continuationSeparator" w:id="0">
    <w:p w:rsidR="00E444A6" w:rsidRDefault="00E444A6" w:rsidP="00CC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A6" w:rsidRDefault="00E444A6" w:rsidP="00CC518B">
      <w:pPr>
        <w:spacing w:after="0" w:line="240" w:lineRule="auto"/>
      </w:pPr>
      <w:r>
        <w:separator/>
      </w:r>
    </w:p>
  </w:footnote>
  <w:footnote w:type="continuationSeparator" w:id="0">
    <w:p w:rsidR="00E444A6" w:rsidRDefault="00E444A6" w:rsidP="00CC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18B" w:rsidRDefault="00CC518B" w:rsidP="00CC518B">
    <w:pPr>
      <w:pStyle w:val="Encabezado"/>
      <w:jc w:val="center"/>
    </w:pPr>
    <w:r w:rsidRPr="00CC518B">
      <w:rPr>
        <w:highlight w:val="yellow"/>
      </w:rPr>
      <w:t>(OJO Colocar logo de la Institución Educativa y/o Centro Educativo)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B"/>
    <w:rsid w:val="009770D9"/>
    <w:rsid w:val="00B95D2E"/>
    <w:rsid w:val="00CC518B"/>
    <w:rsid w:val="00E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C5E6"/>
  <w15:chartTrackingRefBased/>
  <w15:docId w15:val="{34C60AEA-2002-4096-8C9F-C5E8A9D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8B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18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C5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18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2021-03-05T15:42:00Z</dcterms:created>
  <dcterms:modified xsi:type="dcterms:W3CDTF">2021-03-05T15:58:00Z</dcterms:modified>
</cp:coreProperties>
</file>